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eastAsia="黑体"/>
          <w:color w:val="000000"/>
          <w:sz w:val="32"/>
          <w:szCs w:val="32"/>
        </w:rPr>
      </w:pPr>
      <w:r>
        <w:rPr>
          <w:rFonts w:hint="eastAsia" w:eastAsia="黑体"/>
          <w:color w:val="000000"/>
          <w:sz w:val="32"/>
          <w:szCs w:val="32"/>
        </w:rPr>
        <w:t>中百控股集团股份有限公司</w:t>
      </w:r>
    </w:p>
    <w:p>
      <w:pPr>
        <w:adjustRightInd w:val="0"/>
        <w:snapToGrid w:val="0"/>
        <w:jc w:val="center"/>
        <w:rPr>
          <w:rFonts w:eastAsia="黑体"/>
          <w:color w:val="000000"/>
          <w:sz w:val="32"/>
          <w:szCs w:val="32"/>
        </w:rPr>
      </w:pPr>
      <w:r>
        <w:rPr>
          <w:rFonts w:hint="eastAsia" w:eastAsia="黑体"/>
          <w:color w:val="000000"/>
          <w:sz w:val="32"/>
          <w:szCs w:val="32"/>
        </w:rPr>
        <w:t>董事会授权管理办法</w:t>
      </w:r>
    </w:p>
    <w:p>
      <w:pPr>
        <w:jc w:val="center"/>
        <w:rPr>
          <w:rFonts w:hint="eastAsia"/>
          <w:lang w:eastAsia="zh-CN"/>
        </w:rPr>
      </w:pPr>
      <w:r>
        <w:rPr>
          <w:rFonts w:hint="eastAsia"/>
          <w:lang w:eastAsia="zh-CN"/>
        </w:rPr>
        <w:t>（</w:t>
      </w:r>
      <w:r>
        <w:rPr>
          <w:rFonts w:hint="eastAsia"/>
          <w:lang w:val="en-US" w:eastAsia="zh-CN"/>
        </w:rPr>
        <w:t>经公司第十届董事会第十三次会议审议通过</w:t>
      </w:r>
      <w:r>
        <w:rPr>
          <w:rFonts w:hint="eastAsia"/>
          <w:lang w:eastAsia="zh-CN"/>
        </w:rPr>
        <w:t>）</w:t>
      </w:r>
    </w:p>
    <w:p>
      <w:pPr>
        <w:adjustRightInd w:val="0"/>
        <w:snapToGrid w:val="0"/>
        <w:spacing w:line="440" w:lineRule="exact"/>
        <w:jc w:val="center"/>
      </w:pPr>
      <w:bookmarkStart w:id="0" w:name="_GoBack"/>
      <w:bookmarkEnd w:id="0"/>
    </w:p>
    <w:p>
      <w:pPr>
        <w:adjustRightInd w:val="0"/>
        <w:snapToGrid w:val="0"/>
        <w:spacing w:line="440" w:lineRule="exact"/>
        <w:jc w:val="center"/>
        <w:rPr>
          <w:rFonts w:eastAsia="黑体"/>
          <w:color w:val="000000"/>
          <w:sz w:val="36"/>
          <w:szCs w:val="36"/>
        </w:rPr>
      </w:pPr>
      <w:r>
        <w:rPr>
          <w:rFonts w:hint="eastAsia" w:eastAsia="黑体"/>
          <w:color w:val="000000"/>
          <w:sz w:val="24"/>
        </w:rPr>
        <w:t>第一章</w:t>
      </w:r>
      <w:r>
        <w:rPr>
          <w:rFonts w:eastAsia="黑体"/>
          <w:color w:val="000000"/>
          <w:sz w:val="24"/>
        </w:rPr>
        <w:t xml:space="preserve">  </w:t>
      </w:r>
      <w:r>
        <w:rPr>
          <w:rFonts w:hint="eastAsia" w:eastAsia="黑体"/>
          <w:color w:val="000000"/>
          <w:sz w:val="24"/>
        </w:rPr>
        <w:t>总</w:t>
      </w:r>
      <w:r>
        <w:rPr>
          <w:rFonts w:eastAsia="黑体"/>
          <w:color w:val="000000"/>
          <w:sz w:val="24"/>
        </w:rPr>
        <w:t xml:space="preserve">  </w:t>
      </w:r>
      <w:r>
        <w:rPr>
          <w:rFonts w:hint="eastAsia" w:eastAsia="黑体"/>
          <w:color w:val="000000"/>
          <w:sz w:val="24"/>
        </w:rPr>
        <w:t>则</w:t>
      </w:r>
    </w:p>
    <w:p>
      <w:pPr>
        <w:adjustRightInd w:val="0"/>
        <w:snapToGrid w:val="0"/>
        <w:spacing w:line="440" w:lineRule="exact"/>
        <w:ind w:firstLine="482" w:firstLineChars="200"/>
        <w:rPr>
          <w:color w:val="000000"/>
          <w:sz w:val="24"/>
        </w:rPr>
      </w:pPr>
      <w:r>
        <w:rPr>
          <w:rFonts w:hint="eastAsia"/>
          <w:b/>
          <w:bCs/>
          <w:color w:val="000000"/>
          <w:sz w:val="24"/>
        </w:rPr>
        <w:t>第一条</w:t>
      </w:r>
      <w:r>
        <w:rPr>
          <w:color w:val="000000"/>
          <w:sz w:val="24"/>
        </w:rPr>
        <w:t xml:space="preserve">  </w:t>
      </w:r>
      <w:r>
        <w:rPr>
          <w:rFonts w:hint="eastAsia"/>
          <w:color w:val="000000"/>
          <w:sz w:val="24"/>
        </w:rPr>
        <w:t>为进一步完善中百控股集团股份有限公司（以下简称“公司”）治理结构，规范董事会授权行为，建立科学、规范、高效的决策机制，保障公司和股东的合法权益，根据《中华人民共和国公司法》《中百控股集团股份有限公司章程》（以下简称“《公司章程》”）《中百控股集团股份有限公司董事会议事规则》（以下简称“《董事会议事规则》”）等有关规定，结合公司实际，制定本办法。</w:t>
      </w:r>
    </w:p>
    <w:p>
      <w:pPr>
        <w:adjustRightInd w:val="0"/>
        <w:snapToGrid w:val="0"/>
        <w:spacing w:line="440" w:lineRule="exact"/>
        <w:ind w:firstLine="482" w:firstLineChars="200"/>
        <w:rPr>
          <w:color w:val="000000"/>
          <w:sz w:val="24"/>
        </w:rPr>
      </w:pPr>
      <w:r>
        <w:rPr>
          <w:rFonts w:hint="eastAsia"/>
          <w:b/>
          <w:bCs/>
          <w:color w:val="000000"/>
          <w:sz w:val="24"/>
        </w:rPr>
        <w:t>第二条</w:t>
      </w:r>
      <w:r>
        <w:rPr>
          <w:rFonts w:hint="eastAsia"/>
          <w:color w:val="000000"/>
          <w:sz w:val="24"/>
        </w:rPr>
        <w:t xml:space="preserve">  本办法所称授权，指董事会在一定条件和范围内，将法律、行政法规以及《公司章程》所赋予的部分职权委托总经理代为行使的行为。本办法所称行权，指总经理依法行使被委托职权的行为。</w:t>
      </w:r>
    </w:p>
    <w:p>
      <w:pPr>
        <w:spacing w:line="560" w:lineRule="exact"/>
        <w:ind w:firstLine="482" w:firstLineChars="200"/>
        <w:rPr>
          <w:rFonts w:ascii="仿宋_GB2312" w:hAnsi="仿宋_GB2312" w:eastAsia="仿宋_GB2312" w:cs="仿宋_GB2312"/>
          <w:sz w:val="32"/>
          <w:szCs w:val="32"/>
        </w:rPr>
      </w:pPr>
      <w:r>
        <w:rPr>
          <w:rFonts w:hint="eastAsia"/>
          <w:b/>
          <w:bCs/>
          <w:color w:val="000000"/>
          <w:sz w:val="24"/>
        </w:rPr>
        <w:t>第三条</w:t>
      </w:r>
      <w:r>
        <w:rPr>
          <w:rFonts w:hint="eastAsia"/>
          <w:color w:val="000000"/>
          <w:sz w:val="24"/>
        </w:rPr>
        <w:t xml:space="preserve">  公司董事会授权应当遵循下列原则：</w:t>
      </w:r>
    </w:p>
    <w:p>
      <w:pPr>
        <w:adjustRightInd w:val="0"/>
        <w:snapToGrid w:val="0"/>
        <w:spacing w:line="440" w:lineRule="exact"/>
        <w:ind w:firstLine="480" w:firstLineChars="200"/>
        <w:rPr>
          <w:color w:val="000000"/>
          <w:sz w:val="24"/>
        </w:rPr>
      </w:pPr>
      <w:r>
        <w:rPr>
          <w:rFonts w:hint="eastAsia"/>
          <w:color w:val="000000"/>
          <w:sz w:val="24"/>
        </w:rPr>
        <w:t>（一）审慎授权原则。授权应当坚持依法合规、权责对等、风险可控、注重实效，确保规范授权、科学授权、适度授权。</w:t>
      </w:r>
    </w:p>
    <w:p>
      <w:pPr>
        <w:adjustRightInd w:val="0"/>
        <w:snapToGrid w:val="0"/>
        <w:spacing w:line="440" w:lineRule="exact"/>
        <w:ind w:firstLine="480" w:firstLineChars="200"/>
        <w:rPr>
          <w:color w:val="000000"/>
          <w:sz w:val="24"/>
        </w:rPr>
      </w:pPr>
      <w:r>
        <w:rPr>
          <w:rFonts w:hint="eastAsia"/>
          <w:color w:val="000000"/>
          <w:sz w:val="24"/>
        </w:rPr>
        <w:t>（二）适时调整原则。授权权限在授权有效期限内保持相对稳定，并根据内外部因素的变化情况和经营管理工作的需要适时调整。</w:t>
      </w:r>
    </w:p>
    <w:p>
      <w:pPr>
        <w:adjustRightInd w:val="0"/>
        <w:snapToGrid w:val="0"/>
        <w:spacing w:line="440" w:lineRule="exact"/>
        <w:ind w:firstLine="480" w:firstLineChars="200"/>
        <w:rPr>
          <w:color w:val="000000"/>
          <w:sz w:val="24"/>
        </w:rPr>
      </w:pPr>
      <w:r>
        <w:rPr>
          <w:rFonts w:hint="eastAsia"/>
          <w:color w:val="000000"/>
          <w:sz w:val="24"/>
        </w:rPr>
        <w:t>（三）有效监督原则。董事会对授权事项决策过程和执行效果进行监督。</w:t>
      </w:r>
    </w:p>
    <w:p>
      <w:pPr>
        <w:adjustRightInd w:val="0"/>
        <w:snapToGrid w:val="0"/>
        <w:spacing w:line="440" w:lineRule="exact"/>
        <w:ind w:firstLine="480" w:firstLineChars="200"/>
        <w:rPr>
          <w:color w:val="000000"/>
          <w:sz w:val="24"/>
        </w:rPr>
      </w:pPr>
    </w:p>
    <w:p>
      <w:pPr>
        <w:adjustRightInd w:val="0"/>
        <w:snapToGrid w:val="0"/>
        <w:spacing w:line="440" w:lineRule="exact"/>
        <w:jc w:val="center"/>
        <w:rPr>
          <w:rFonts w:eastAsia="黑体"/>
          <w:color w:val="000000"/>
          <w:sz w:val="36"/>
          <w:szCs w:val="36"/>
        </w:rPr>
      </w:pPr>
      <w:r>
        <w:rPr>
          <w:rFonts w:hint="eastAsia" w:eastAsia="黑体"/>
          <w:color w:val="000000"/>
          <w:sz w:val="24"/>
        </w:rPr>
        <w:t>第二章</w:t>
      </w:r>
      <w:r>
        <w:rPr>
          <w:rFonts w:eastAsia="黑体"/>
          <w:color w:val="000000"/>
          <w:sz w:val="24"/>
        </w:rPr>
        <w:t xml:space="preserve">  </w:t>
      </w:r>
      <w:r>
        <w:rPr>
          <w:rFonts w:hint="eastAsia" w:eastAsia="黑体"/>
          <w:color w:val="000000"/>
          <w:sz w:val="24"/>
        </w:rPr>
        <w:t>授权的范围</w:t>
      </w:r>
    </w:p>
    <w:p>
      <w:pPr>
        <w:adjustRightInd w:val="0"/>
        <w:snapToGrid w:val="0"/>
        <w:spacing w:line="440" w:lineRule="exact"/>
        <w:ind w:firstLine="482" w:firstLineChars="200"/>
        <w:rPr>
          <w:color w:val="000000"/>
          <w:sz w:val="24"/>
        </w:rPr>
      </w:pPr>
      <w:r>
        <w:rPr>
          <w:rFonts w:hint="eastAsia"/>
          <w:b/>
          <w:color w:val="000000"/>
          <w:sz w:val="24"/>
        </w:rPr>
        <w:t>第四条</w:t>
      </w:r>
      <w:r>
        <w:rPr>
          <w:rFonts w:hint="eastAsia"/>
          <w:color w:val="000000"/>
          <w:sz w:val="24"/>
        </w:rPr>
        <w:t xml:space="preserve">  董事会可以根据有关规定和公司经营决策的实际需要，将部分职权授予总经理行使。</w:t>
      </w:r>
    </w:p>
    <w:p>
      <w:pPr>
        <w:adjustRightInd w:val="0"/>
        <w:snapToGrid w:val="0"/>
        <w:spacing w:line="440" w:lineRule="exact"/>
        <w:ind w:firstLine="482" w:firstLineChars="200"/>
        <w:rPr>
          <w:color w:val="000000"/>
          <w:sz w:val="24"/>
        </w:rPr>
      </w:pPr>
      <w:r>
        <w:rPr>
          <w:rFonts w:hint="eastAsia"/>
          <w:b/>
          <w:color w:val="000000"/>
          <w:sz w:val="24"/>
        </w:rPr>
        <w:t>第五条</w:t>
      </w:r>
      <w:r>
        <w:rPr>
          <w:rFonts w:hint="eastAsia"/>
          <w:color w:val="000000"/>
          <w:sz w:val="24"/>
        </w:rPr>
        <w:t xml:space="preserve">  董事会授权事项是董事会将部分职权范围内的决策事项授予总经理决策，决策事项包括：</w:t>
      </w:r>
    </w:p>
    <w:p>
      <w:pPr>
        <w:adjustRightInd w:val="0"/>
        <w:snapToGrid w:val="0"/>
        <w:spacing w:line="440" w:lineRule="exact"/>
        <w:ind w:firstLine="480" w:firstLineChars="200"/>
        <w:rPr>
          <w:color w:val="000000"/>
          <w:sz w:val="24"/>
        </w:rPr>
      </w:pPr>
      <w:r>
        <w:rPr>
          <w:rFonts w:hint="eastAsia"/>
          <w:color w:val="000000"/>
          <w:sz w:val="24"/>
        </w:rPr>
        <w:t>（一）公司发生的交易（提供担保除外）未达到《公司章程》规定董事会审议标准的，董事会授权总经理决策。上述交易是指购买或出售资产、对外投资（含委托理财、委托贷款等）、提供财务资助、租入或租出资产、委托或受托管理资产和业务、赠与或受赠资产、债权及债务重组、签订许可协议、转让或者受让研究与开发项目及其他交易。上述交易种类的界定、交易额及相关财务指标的具体计算按照《深圳证券交易所股票上市规则》《公司章程》相关规定执行。</w:t>
      </w:r>
    </w:p>
    <w:p>
      <w:pPr>
        <w:adjustRightInd w:val="0"/>
        <w:snapToGrid w:val="0"/>
        <w:spacing w:line="440" w:lineRule="exact"/>
        <w:ind w:firstLine="480" w:firstLineChars="200"/>
        <w:rPr>
          <w:color w:val="000000"/>
          <w:sz w:val="24"/>
        </w:rPr>
      </w:pPr>
      <w:r>
        <w:rPr>
          <w:rFonts w:hint="eastAsia"/>
          <w:color w:val="000000"/>
          <w:sz w:val="24"/>
        </w:rPr>
        <w:t>（二）公司或控股子公司与关联自然人发生的交易金额低于30万元；与关联法人发生的交易（公司提供担保、受赠现金资产、单纯减免公司义务的债务除外）金额占公司最近一期经审计净资产绝对值低于0.5%的关联交易。</w:t>
      </w:r>
    </w:p>
    <w:p>
      <w:pPr>
        <w:adjustRightInd w:val="0"/>
        <w:snapToGrid w:val="0"/>
        <w:spacing w:line="440" w:lineRule="exact"/>
        <w:ind w:firstLine="480" w:firstLineChars="200"/>
        <w:rPr>
          <w:color w:val="000000"/>
          <w:sz w:val="24"/>
        </w:rPr>
      </w:pPr>
      <w:r>
        <w:rPr>
          <w:rFonts w:hint="eastAsia"/>
          <w:color w:val="000000"/>
          <w:sz w:val="24"/>
        </w:rPr>
        <w:t>（三）董事会授予的其他职权。</w:t>
      </w:r>
    </w:p>
    <w:p>
      <w:pPr>
        <w:adjustRightInd w:val="0"/>
        <w:snapToGrid w:val="0"/>
        <w:spacing w:line="440" w:lineRule="exact"/>
        <w:ind w:firstLine="480" w:firstLineChars="200"/>
        <w:rPr>
          <w:color w:val="000000"/>
          <w:sz w:val="24"/>
        </w:rPr>
      </w:pPr>
      <w:r>
        <w:rPr>
          <w:rFonts w:hint="eastAsia"/>
          <w:color w:val="000000"/>
          <w:sz w:val="24"/>
        </w:rPr>
        <w:t>《公司章程》等明确规定由总经理依法履行的职权，不适用本办法。</w:t>
      </w:r>
    </w:p>
    <w:p>
      <w:pPr>
        <w:pStyle w:val="11"/>
        <w:spacing w:after="0" w:line="440" w:lineRule="exact"/>
        <w:ind w:firstLine="482" w:firstLineChars="200"/>
      </w:pPr>
      <w:r>
        <w:rPr>
          <w:rFonts w:hint="eastAsia"/>
          <w:b/>
          <w:bCs/>
        </w:rPr>
        <w:t>第六条</w:t>
      </w:r>
      <w:r>
        <w:rPr>
          <w:rFonts w:hint="eastAsia"/>
        </w:rPr>
        <w:t xml:space="preserve">  </w:t>
      </w:r>
      <w:r>
        <w:rPr>
          <w:rFonts w:hint="eastAsia"/>
          <w:color w:val="000000"/>
        </w:rPr>
        <w:t>公司董事会对于应由董事会行使的法定职权、需提请股东大会决定的事项等不可授权。</w:t>
      </w:r>
    </w:p>
    <w:p>
      <w:pPr>
        <w:adjustRightInd w:val="0"/>
        <w:snapToGrid w:val="0"/>
        <w:spacing w:line="440" w:lineRule="exact"/>
        <w:ind w:firstLine="480" w:firstLineChars="200"/>
        <w:jc w:val="left"/>
        <w:rPr>
          <w:color w:val="000000"/>
          <w:sz w:val="24"/>
        </w:rPr>
      </w:pPr>
    </w:p>
    <w:p>
      <w:pPr>
        <w:adjustRightInd w:val="0"/>
        <w:snapToGrid w:val="0"/>
        <w:spacing w:line="440" w:lineRule="exact"/>
        <w:ind w:firstLine="480" w:firstLineChars="200"/>
        <w:jc w:val="center"/>
        <w:rPr>
          <w:rFonts w:ascii="黑体" w:hAnsi="黑体" w:eastAsia="黑体" w:cs="黑体"/>
          <w:color w:val="000000"/>
          <w:sz w:val="24"/>
        </w:rPr>
      </w:pPr>
      <w:r>
        <w:rPr>
          <w:rFonts w:hint="eastAsia" w:ascii="黑体" w:hAnsi="黑体" w:eastAsia="黑体" w:cs="黑体"/>
          <w:color w:val="000000"/>
          <w:sz w:val="24"/>
        </w:rPr>
        <w:t>第三章  授权管理</w:t>
      </w:r>
    </w:p>
    <w:p>
      <w:pPr>
        <w:adjustRightInd w:val="0"/>
        <w:snapToGrid w:val="0"/>
        <w:spacing w:line="440" w:lineRule="exact"/>
        <w:ind w:firstLine="482" w:firstLineChars="200"/>
        <w:rPr>
          <w:color w:val="000000"/>
          <w:sz w:val="24"/>
        </w:rPr>
      </w:pPr>
      <w:r>
        <w:rPr>
          <w:rFonts w:hint="eastAsia"/>
          <w:b/>
          <w:bCs/>
          <w:color w:val="000000"/>
          <w:sz w:val="24"/>
        </w:rPr>
        <w:t>第七条</w:t>
      </w:r>
      <w:r>
        <w:rPr>
          <w:rFonts w:hint="eastAsia"/>
          <w:color w:val="000000"/>
          <w:sz w:val="24"/>
        </w:rPr>
        <w:t xml:space="preserve">  董事会授权分为一般授权和临时授权。一般授权是指《公司章程》《董事会议事规则》及有关管理制度规定的董事会授予总经理的权限；临时授权是指董事会审议具体事项时的授权。</w:t>
      </w:r>
    </w:p>
    <w:p>
      <w:pPr>
        <w:adjustRightInd w:val="0"/>
        <w:snapToGrid w:val="0"/>
        <w:spacing w:line="440" w:lineRule="exact"/>
        <w:ind w:firstLine="482" w:firstLineChars="200"/>
        <w:rPr>
          <w:color w:val="000000"/>
          <w:sz w:val="24"/>
        </w:rPr>
      </w:pPr>
      <w:r>
        <w:rPr>
          <w:rFonts w:hint="eastAsia"/>
          <w:b/>
          <w:bCs/>
          <w:color w:val="000000"/>
          <w:sz w:val="24"/>
        </w:rPr>
        <w:t>第八条</w:t>
      </w:r>
      <w:r>
        <w:rPr>
          <w:rFonts w:hint="eastAsia"/>
          <w:color w:val="000000"/>
          <w:sz w:val="24"/>
        </w:rPr>
        <w:t xml:space="preserve">  临时授权事项应当以董事会决议的形式明确授权背景、授权事项、授权期限、行权条件等具体要求。</w:t>
      </w:r>
    </w:p>
    <w:p>
      <w:pPr>
        <w:adjustRightInd w:val="0"/>
        <w:snapToGrid w:val="0"/>
        <w:spacing w:line="440" w:lineRule="exact"/>
        <w:ind w:firstLine="482" w:firstLineChars="200"/>
        <w:rPr>
          <w:color w:val="000000"/>
          <w:sz w:val="24"/>
        </w:rPr>
      </w:pPr>
      <w:r>
        <w:rPr>
          <w:rFonts w:hint="eastAsia"/>
          <w:b/>
          <w:bCs/>
          <w:color w:val="000000"/>
          <w:sz w:val="24"/>
        </w:rPr>
        <w:t>第九条</w:t>
      </w:r>
      <w:r>
        <w:rPr>
          <w:rFonts w:hint="eastAsia"/>
          <w:color w:val="000000"/>
          <w:sz w:val="24"/>
        </w:rPr>
        <w:t xml:space="preserve">  总经理应严格按照相应议事规则和授权范围，本着勤勉尽责的原则开展工作，行使职权不得变更或超越授权范围。</w:t>
      </w:r>
    </w:p>
    <w:p>
      <w:pPr>
        <w:adjustRightInd w:val="0"/>
        <w:snapToGrid w:val="0"/>
        <w:spacing w:line="440" w:lineRule="exact"/>
        <w:ind w:firstLine="482" w:firstLineChars="200"/>
        <w:rPr>
          <w:color w:val="000000"/>
          <w:sz w:val="24"/>
        </w:rPr>
      </w:pPr>
      <w:r>
        <w:rPr>
          <w:rFonts w:hint="eastAsia"/>
          <w:b/>
          <w:bCs/>
          <w:color w:val="000000"/>
          <w:sz w:val="24"/>
        </w:rPr>
        <w:t>第十条</w:t>
      </w:r>
      <w:r>
        <w:rPr>
          <w:rFonts w:hint="eastAsia"/>
          <w:color w:val="000000"/>
          <w:sz w:val="24"/>
        </w:rPr>
        <w:t xml:space="preserve">  总经理对授权范围内的事项，须履行党委会前置研究程序的，决策前应当经过党委会研究讨论。涉及职工切身利益的重大事项，应当听取公司职工代表大会或工会的意见或建议。</w:t>
      </w:r>
    </w:p>
    <w:p>
      <w:pPr>
        <w:adjustRightInd w:val="0"/>
        <w:snapToGrid w:val="0"/>
        <w:spacing w:line="440" w:lineRule="exact"/>
        <w:ind w:firstLine="482" w:firstLineChars="200"/>
        <w:rPr>
          <w:color w:val="000000"/>
          <w:sz w:val="24"/>
        </w:rPr>
      </w:pPr>
      <w:r>
        <w:rPr>
          <w:rFonts w:hint="eastAsia"/>
          <w:b/>
          <w:bCs/>
          <w:color w:val="000000"/>
          <w:sz w:val="24"/>
        </w:rPr>
        <w:t>第十一条</w:t>
      </w:r>
      <w:r>
        <w:rPr>
          <w:rFonts w:hint="eastAsia"/>
          <w:color w:val="000000"/>
          <w:sz w:val="24"/>
        </w:rPr>
        <w:t xml:space="preserve">  当授权事项与总经理或其亲属存在利害关系的，总经理应当主动回避，将该事项提交董事会作出决定。</w:t>
      </w:r>
    </w:p>
    <w:p>
      <w:pPr>
        <w:adjustRightInd w:val="0"/>
        <w:snapToGrid w:val="0"/>
        <w:spacing w:line="440" w:lineRule="exact"/>
        <w:ind w:firstLine="482" w:firstLineChars="200"/>
        <w:rPr>
          <w:color w:val="000000"/>
          <w:sz w:val="24"/>
        </w:rPr>
      </w:pPr>
      <w:r>
        <w:rPr>
          <w:rFonts w:hint="eastAsia"/>
          <w:b/>
          <w:bCs/>
          <w:color w:val="000000"/>
          <w:sz w:val="24"/>
        </w:rPr>
        <w:t>第十二条</w:t>
      </w:r>
      <w:r>
        <w:rPr>
          <w:rFonts w:hint="eastAsia"/>
          <w:color w:val="000000"/>
          <w:sz w:val="24"/>
        </w:rPr>
        <w:t xml:space="preserve">  董事会应当定期跟踪掌握授权事项的决策、执行情况，并结合公司经营管理实际、风险控制能力、内外部环境变化等条件，对授权事项实施动态管理，确保授权合理、可控、高效。</w:t>
      </w:r>
    </w:p>
    <w:p>
      <w:pPr>
        <w:adjustRightInd w:val="0"/>
        <w:snapToGrid w:val="0"/>
        <w:spacing w:line="440" w:lineRule="exact"/>
        <w:ind w:firstLine="480" w:firstLineChars="200"/>
        <w:rPr>
          <w:color w:val="000000"/>
          <w:sz w:val="24"/>
        </w:rPr>
      </w:pPr>
      <w:r>
        <w:rPr>
          <w:rFonts w:hint="eastAsia"/>
          <w:color w:val="000000"/>
          <w:sz w:val="24"/>
        </w:rPr>
        <w:t>当授权事项的外部环境发生重大变化、严重偏离决策事项预期效果及董事会、总经理认为有必要时，董事会可调整或收回权限。</w:t>
      </w:r>
    </w:p>
    <w:p>
      <w:pPr>
        <w:adjustRightInd w:val="0"/>
        <w:snapToGrid w:val="0"/>
        <w:spacing w:line="440" w:lineRule="exact"/>
        <w:ind w:firstLine="480" w:firstLineChars="200"/>
        <w:rPr>
          <w:color w:val="000000"/>
          <w:sz w:val="24"/>
        </w:rPr>
      </w:pPr>
    </w:p>
    <w:p>
      <w:pPr>
        <w:adjustRightInd w:val="0"/>
        <w:snapToGrid w:val="0"/>
        <w:spacing w:line="440" w:lineRule="exact"/>
        <w:ind w:firstLine="480" w:firstLineChars="200"/>
        <w:jc w:val="center"/>
        <w:rPr>
          <w:rFonts w:ascii="黑体" w:hAnsi="黑体" w:eastAsia="黑体" w:cs="黑体"/>
          <w:color w:val="000000"/>
          <w:sz w:val="24"/>
        </w:rPr>
      </w:pPr>
      <w:r>
        <w:rPr>
          <w:rFonts w:hint="eastAsia" w:ascii="黑体" w:hAnsi="黑体" w:eastAsia="黑体" w:cs="黑体"/>
          <w:color w:val="000000"/>
          <w:sz w:val="24"/>
        </w:rPr>
        <w:t>第四章  监督与责任</w:t>
      </w:r>
    </w:p>
    <w:p>
      <w:pPr>
        <w:adjustRightInd w:val="0"/>
        <w:snapToGrid w:val="0"/>
        <w:spacing w:line="440" w:lineRule="exact"/>
        <w:ind w:firstLine="482" w:firstLineChars="200"/>
        <w:rPr>
          <w:color w:val="000000"/>
          <w:sz w:val="24"/>
        </w:rPr>
      </w:pPr>
      <w:r>
        <w:rPr>
          <w:rFonts w:hint="eastAsia"/>
          <w:b/>
          <w:bCs/>
          <w:color w:val="000000"/>
          <w:sz w:val="24"/>
        </w:rPr>
        <w:t>第十三条</w:t>
      </w:r>
      <w:r>
        <w:rPr>
          <w:rFonts w:hint="eastAsia"/>
          <w:color w:val="000000"/>
          <w:sz w:val="24"/>
        </w:rPr>
        <w:t xml:space="preserve">  董事会是规范授权管理的责任主体，对授权事项负有监管责任。在监督检查过程中，发现总经理行权不当的，应当及时予以纠正。</w:t>
      </w:r>
    </w:p>
    <w:p>
      <w:pPr>
        <w:adjustRightInd w:val="0"/>
        <w:snapToGrid w:val="0"/>
        <w:spacing w:line="440" w:lineRule="exact"/>
        <w:ind w:firstLine="482" w:firstLineChars="200"/>
        <w:rPr>
          <w:color w:val="000000"/>
          <w:sz w:val="24"/>
        </w:rPr>
      </w:pPr>
      <w:r>
        <w:rPr>
          <w:rFonts w:hint="eastAsia"/>
          <w:b/>
          <w:bCs/>
          <w:color w:val="000000"/>
          <w:sz w:val="24"/>
        </w:rPr>
        <w:t>第十四条</w:t>
      </w:r>
      <w:r>
        <w:rPr>
          <w:rFonts w:hint="eastAsia"/>
          <w:color w:val="000000"/>
          <w:sz w:val="24"/>
        </w:rPr>
        <w:t xml:space="preserve">  总经理应当本着维护股东和公司合法权益的原则，严格在授权范围内作出决定，忠实勤勉从事经营管理工作，坚决杜绝越权行事，并自觉接受董事会的监督、检查。</w:t>
      </w:r>
    </w:p>
    <w:p>
      <w:pPr>
        <w:adjustRightInd w:val="0"/>
        <w:snapToGrid w:val="0"/>
        <w:spacing w:line="440" w:lineRule="exact"/>
        <w:ind w:firstLine="482" w:firstLineChars="200"/>
        <w:rPr>
          <w:color w:val="000000"/>
          <w:sz w:val="24"/>
        </w:rPr>
      </w:pPr>
      <w:r>
        <w:rPr>
          <w:rFonts w:hint="eastAsia"/>
          <w:b/>
          <w:bCs/>
          <w:color w:val="000000"/>
          <w:sz w:val="24"/>
        </w:rPr>
        <w:t>第十五条</w:t>
      </w:r>
      <w:r>
        <w:rPr>
          <w:rFonts w:hint="eastAsia"/>
          <w:color w:val="000000"/>
          <w:sz w:val="24"/>
        </w:rPr>
        <w:t xml:space="preserve">  总经理有下列行为，致使公司遭受严重损失或其他严重不良后果的，应当承担相应责任：</w:t>
      </w:r>
    </w:p>
    <w:p>
      <w:pPr>
        <w:adjustRightInd w:val="0"/>
        <w:snapToGrid w:val="0"/>
        <w:spacing w:line="440" w:lineRule="exact"/>
        <w:ind w:firstLine="480" w:firstLineChars="200"/>
        <w:rPr>
          <w:color w:val="000000"/>
          <w:sz w:val="24"/>
        </w:rPr>
      </w:pPr>
      <w:r>
        <w:rPr>
          <w:rFonts w:hint="eastAsia"/>
          <w:color w:val="000000"/>
          <w:sz w:val="24"/>
        </w:rPr>
        <w:t>（一）在其授权范围内作出违反法律法规或者公司章程的决定；</w:t>
      </w:r>
    </w:p>
    <w:p>
      <w:pPr>
        <w:adjustRightInd w:val="0"/>
        <w:snapToGrid w:val="0"/>
        <w:spacing w:line="440" w:lineRule="exact"/>
        <w:ind w:firstLine="480" w:firstLineChars="200"/>
        <w:rPr>
          <w:color w:val="000000"/>
          <w:sz w:val="24"/>
        </w:rPr>
      </w:pPr>
      <w:r>
        <w:rPr>
          <w:rFonts w:hint="eastAsia"/>
          <w:color w:val="000000"/>
          <w:sz w:val="24"/>
        </w:rPr>
        <w:t>（二）未正确行使授权进行决策导致重大损失；</w:t>
      </w:r>
    </w:p>
    <w:p>
      <w:pPr>
        <w:adjustRightInd w:val="0"/>
        <w:snapToGrid w:val="0"/>
        <w:spacing w:line="440" w:lineRule="exact"/>
        <w:ind w:firstLine="480" w:firstLineChars="200"/>
        <w:rPr>
          <w:color w:val="000000"/>
          <w:sz w:val="24"/>
        </w:rPr>
      </w:pPr>
      <w:r>
        <w:rPr>
          <w:rFonts w:hint="eastAsia"/>
          <w:color w:val="000000"/>
          <w:sz w:val="24"/>
        </w:rPr>
        <w:t>（三）超越授权范围作出决策；</w:t>
      </w:r>
    </w:p>
    <w:p>
      <w:pPr>
        <w:adjustRightInd w:val="0"/>
        <w:snapToGrid w:val="0"/>
        <w:spacing w:line="440" w:lineRule="exact"/>
        <w:ind w:firstLine="480" w:firstLineChars="200"/>
        <w:rPr>
          <w:color w:val="000000"/>
          <w:sz w:val="24"/>
        </w:rPr>
      </w:pPr>
      <w:r>
        <w:rPr>
          <w:rFonts w:hint="eastAsia"/>
          <w:color w:val="000000"/>
          <w:sz w:val="24"/>
        </w:rPr>
        <w:t>（四）未能及时发现、纠正授权事项执行过程中的重大问题；</w:t>
      </w:r>
    </w:p>
    <w:p>
      <w:pPr>
        <w:adjustRightInd w:val="0"/>
        <w:snapToGrid w:val="0"/>
        <w:spacing w:line="440" w:lineRule="exact"/>
        <w:ind w:firstLine="480" w:firstLineChars="200"/>
        <w:rPr>
          <w:color w:val="000000"/>
          <w:sz w:val="24"/>
        </w:rPr>
      </w:pPr>
      <w:r>
        <w:rPr>
          <w:rFonts w:hint="eastAsia"/>
          <w:color w:val="000000"/>
          <w:sz w:val="24"/>
        </w:rPr>
        <w:t>（五）法律法规、公司章程规定的其他追责情形。</w:t>
      </w:r>
    </w:p>
    <w:p>
      <w:pPr>
        <w:adjustRightInd w:val="0"/>
        <w:snapToGrid w:val="0"/>
        <w:spacing w:line="440" w:lineRule="exact"/>
        <w:ind w:firstLine="482" w:firstLineChars="200"/>
        <w:rPr>
          <w:color w:val="000000"/>
          <w:sz w:val="24"/>
        </w:rPr>
      </w:pPr>
      <w:r>
        <w:rPr>
          <w:rFonts w:hint="eastAsia"/>
          <w:b/>
          <w:bCs/>
          <w:color w:val="000000"/>
          <w:sz w:val="24"/>
        </w:rPr>
        <w:t>第十六条</w:t>
      </w:r>
      <w:r>
        <w:rPr>
          <w:rFonts w:hint="eastAsia"/>
          <w:color w:val="000000"/>
          <w:sz w:val="24"/>
        </w:rPr>
        <w:t xml:space="preserve">  授权决策事项出现重大问题，公司董事会作为授权主体的管理责任不予免除。</w:t>
      </w:r>
    </w:p>
    <w:p>
      <w:pPr>
        <w:adjustRightInd w:val="0"/>
        <w:snapToGrid w:val="0"/>
        <w:spacing w:line="440" w:lineRule="exact"/>
        <w:rPr>
          <w:rFonts w:ascii="黑体" w:hAnsi="黑体" w:eastAsia="黑体" w:cs="黑体"/>
          <w:color w:val="000000"/>
          <w:sz w:val="24"/>
        </w:rPr>
      </w:pPr>
    </w:p>
    <w:p>
      <w:pPr>
        <w:adjustRightInd w:val="0"/>
        <w:snapToGrid w:val="0"/>
        <w:spacing w:line="440" w:lineRule="exact"/>
        <w:ind w:firstLine="480" w:firstLineChars="200"/>
        <w:jc w:val="center"/>
        <w:rPr>
          <w:rFonts w:ascii="黑体" w:hAnsi="黑体" w:eastAsia="黑体" w:cs="黑体"/>
          <w:color w:val="000000"/>
          <w:sz w:val="24"/>
        </w:rPr>
      </w:pPr>
      <w:r>
        <w:rPr>
          <w:rFonts w:hint="eastAsia" w:ascii="黑体" w:hAnsi="黑体" w:eastAsia="黑体" w:cs="黑体"/>
          <w:color w:val="000000"/>
          <w:sz w:val="24"/>
        </w:rPr>
        <w:t>第五章  附则</w:t>
      </w:r>
    </w:p>
    <w:p>
      <w:pPr>
        <w:adjustRightInd w:val="0"/>
        <w:snapToGrid w:val="0"/>
        <w:spacing w:line="440" w:lineRule="exact"/>
        <w:ind w:firstLine="482" w:firstLineChars="200"/>
        <w:rPr>
          <w:color w:val="000000"/>
          <w:sz w:val="24"/>
        </w:rPr>
      </w:pPr>
      <w:r>
        <w:rPr>
          <w:rFonts w:hint="eastAsia"/>
          <w:b/>
          <w:bCs/>
          <w:color w:val="000000"/>
          <w:sz w:val="24"/>
        </w:rPr>
        <w:t>第十七条</w:t>
      </w:r>
      <w:r>
        <w:rPr>
          <w:rFonts w:hint="eastAsia"/>
          <w:color w:val="000000"/>
          <w:sz w:val="24"/>
        </w:rPr>
        <w:t xml:space="preserve">  本办法未尽事宜，按国家有关法律、法规、规范性文件以及公司章程的规定执行；本办法如与有关法律、法规、规范性文件及公司章程不一致的，以有关法律、法规、规范性文件及公司章程等规定为准。</w:t>
      </w:r>
    </w:p>
    <w:p>
      <w:pPr>
        <w:adjustRightInd w:val="0"/>
        <w:snapToGrid w:val="0"/>
        <w:spacing w:line="440" w:lineRule="exact"/>
        <w:ind w:firstLine="482" w:firstLineChars="200"/>
        <w:rPr>
          <w:rFonts w:ascii="宋体" w:hAnsi="宋体" w:cs="宋体"/>
          <w:color w:val="000000"/>
          <w:sz w:val="24"/>
        </w:rPr>
      </w:pPr>
      <w:r>
        <w:rPr>
          <w:rFonts w:hint="eastAsia"/>
          <w:b/>
          <w:bCs/>
          <w:color w:val="000000"/>
          <w:sz w:val="24"/>
        </w:rPr>
        <w:t>第十八条</w:t>
      </w:r>
      <w:r>
        <w:rPr>
          <w:rFonts w:hint="eastAsia"/>
          <w:color w:val="000000"/>
          <w:sz w:val="24"/>
        </w:rPr>
        <w:t xml:space="preserve">  本办法由公司董事会负责解释和修订，经公司董事会审议通过之日起生效。</w:t>
      </w:r>
    </w:p>
    <w:p>
      <w:pPr>
        <w:pStyle w:val="3"/>
        <w:adjustRightInd w:val="0"/>
        <w:snapToGrid w:val="0"/>
        <w:spacing w:line="360" w:lineRule="auto"/>
        <w:rPr>
          <w:rFonts w:ascii="宋体" w:hAnsi="宋体"/>
          <w:snapToGrid w:val="0"/>
          <w:kern w:val="0"/>
          <w:sz w:val="24"/>
        </w:rPr>
      </w:pPr>
    </w:p>
    <w:p/>
    <w:p/>
    <w:p>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napToGrid w:val="0"/>
          <w:kern w:val="0"/>
          <w:sz w:val="24"/>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napToGrid w:val="0"/>
          <w:kern w:val="0"/>
          <w:sz w:val="24"/>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napToGrid w:val="0"/>
          <w:kern w:val="0"/>
          <w:sz w:val="24"/>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napToGrid w:val="0"/>
          <w:kern w:val="0"/>
          <w:sz w:val="24"/>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napToGrid w:val="0"/>
          <w:kern w:val="0"/>
          <w:sz w:val="24"/>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napToGrid w:val="0"/>
          <w:kern w:val="0"/>
          <w:sz w:val="24"/>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napToGrid w:val="0"/>
          <w:kern w:val="0"/>
          <w:sz w:val="24"/>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napToGrid w:val="0"/>
          <w:kern w:val="0"/>
          <w:sz w:val="24"/>
          <w:lang w:val="en-US" w:eastAsia="zh-CN"/>
        </w:rPr>
      </w:pPr>
    </w:p>
    <w:p>
      <w:pPr>
        <w:adjustRightInd w:val="0"/>
        <w:snapToGrid w:val="0"/>
        <w:spacing w:line="440" w:lineRule="exact"/>
        <w:rPr>
          <w:rFonts w:ascii="宋体" w:hAnsi="宋体" w:cs="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U2YmQ2ZDI5NTY5ODZhYmZiNTg1MWIwOWQ4ZmRhOTkifQ=="/>
  </w:docVars>
  <w:rsids>
    <w:rsidRoot w:val="71F877E1"/>
    <w:rsid w:val="000F0095"/>
    <w:rsid w:val="00187DF1"/>
    <w:rsid w:val="00194F31"/>
    <w:rsid w:val="00472C09"/>
    <w:rsid w:val="004F2333"/>
    <w:rsid w:val="00602E88"/>
    <w:rsid w:val="00872045"/>
    <w:rsid w:val="00C567C9"/>
    <w:rsid w:val="00D32E87"/>
    <w:rsid w:val="00F20DD7"/>
    <w:rsid w:val="01F051A5"/>
    <w:rsid w:val="03C05862"/>
    <w:rsid w:val="044D6E11"/>
    <w:rsid w:val="04F1283C"/>
    <w:rsid w:val="0A9422AB"/>
    <w:rsid w:val="0D37796D"/>
    <w:rsid w:val="10A42C7C"/>
    <w:rsid w:val="18160542"/>
    <w:rsid w:val="1A042B0B"/>
    <w:rsid w:val="1BC31459"/>
    <w:rsid w:val="1D401D98"/>
    <w:rsid w:val="218A6F77"/>
    <w:rsid w:val="2411311F"/>
    <w:rsid w:val="25173F69"/>
    <w:rsid w:val="259F13CD"/>
    <w:rsid w:val="25C61AE6"/>
    <w:rsid w:val="2718679B"/>
    <w:rsid w:val="28E16D28"/>
    <w:rsid w:val="297F48C6"/>
    <w:rsid w:val="2A0B4856"/>
    <w:rsid w:val="2BD44427"/>
    <w:rsid w:val="2DD5046A"/>
    <w:rsid w:val="33D62040"/>
    <w:rsid w:val="33F26C57"/>
    <w:rsid w:val="35287A2B"/>
    <w:rsid w:val="36094D2E"/>
    <w:rsid w:val="38FA3C91"/>
    <w:rsid w:val="3BB8312D"/>
    <w:rsid w:val="3D0D2A6C"/>
    <w:rsid w:val="3F390820"/>
    <w:rsid w:val="49AE54F3"/>
    <w:rsid w:val="49CD57C9"/>
    <w:rsid w:val="4AEE3A4C"/>
    <w:rsid w:val="51D11FEA"/>
    <w:rsid w:val="5230527B"/>
    <w:rsid w:val="52C37B71"/>
    <w:rsid w:val="54D942EA"/>
    <w:rsid w:val="554C6731"/>
    <w:rsid w:val="570E00EB"/>
    <w:rsid w:val="5D8B5C74"/>
    <w:rsid w:val="62680D6B"/>
    <w:rsid w:val="64A2021E"/>
    <w:rsid w:val="656A382F"/>
    <w:rsid w:val="66053D3D"/>
    <w:rsid w:val="67444BC9"/>
    <w:rsid w:val="679C65F6"/>
    <w:rsid w:val="6A5E6922"/>
    <w:rsid w:val="6AF55FEB"/>
    <w:rsid w:val="6CC67965"/>
    <w:rsid w:val="6E681846"/>
    <w:rsid w:val="6FE412B8"/>
    <w:rsid w:val="700B7420"/>
    <w:rsid w:val="71F877E1"/>
    <w:rsid w:val="74204E53"/>
    <w:rsid w:val="74707B0A"/>
    <w:rsid w:val="78297CC4"/>
    <w:rsid w:val="790670F5"/>
    <w:rsid w:val="7F520BD0"/>
    <w:rsid w:val="7F660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semiHidden/>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semiHidden/>
    <w:unhideWhenUsed/>
    <w:qFormat/>
    <w:uiPriority w:val="0"/>
    <w:pPr>
      <w:ind w:firstLine="420" w:firstLineChars="100"/>
    </w:pPr>
    <w:rPr>
      <w:rFonts w:ascii="Calibri" w:hAnsi="Calibri"/>
      <w:szCs w:val="22"/>
    </w:r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0"/>
    <w:rPr>
      <w:kern w:val="2"/>
      <w:sz w:val="18"/>
      <w:szCs w:val="18"/>
    </w:rPr>
  </w:style>
  <w:style w:type="paragraph" w:customStyle="1" w:styleId="11">
    <w:name w:val="正文（首行缩进）"/>
    <w:basedOn w:val="6"/>
    <w:next w:val="3"/>
    <w:qFormat/>
    <w:uiPriority w:val="0"/>
    <w:pPr>
      <w:snapToGrid w:val="0"/>
      <w:spacing w:line="288" w:lineRule="auto"/>
      <w:ind w:firstLine="880"/>
    </w:pPr>
    <w:rPr>
      <w:rFonts w:eastAsia="方正书宋简体"/>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2034</Words>
  <Characters>2034</Characters>
  <Lines>14</Lines>
  <Paragraphs>4</Paragraphs>
  <TotalTime>0</TotalTime>
  <ScaleCrop>false</ScaleCrop>
  <LinksUpToDate>false</LinksUpToDate>
  <CharactersWithSpaces>2080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2022-06-01T03:52:00Z</dcterms:created>
  <dc:creator>王茂</dc:creator>
  <cp:lastModifiedBy>王茂</cp:lastModifiedBy>
  <dcterms:modified xsi:type="dcterms:W3CDTF">2022-07-05T06:29:46Z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076DBA5BB55641FCA1C634BF2E9E96C4</vt:lpwstr>
  </property>
</Properties>
</file>